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F7" w:rsidRDefault="00F111F7" w:rsidP="00D01F43">
      <w:pPr>
        <w:shd w:val="clear" w:color="auto" w:fill="FFFFFF"/>
        <w:spacing w:before="158"/>
        <w:ind w:right="130"/>
        <w:jc w:val="center"/>
      </w:pPr>
      <w:r>
        <w:rPr>
          <w:color w:val="000000"/>
          <w:spacing w:val="-4"/>
          <w:sz w:val="16"/>
          <w:szCs w:val="16"/>
        </w:rPr>
        <w:t>ZESTAWIENIE ZMIAN W FUNDUSZU</w:t>
      </w:r>
    </w:p>
    <w:p w:rsidR="00F111F7" w:rsidRDefault="00F111F7" w:rsidP="00D01F43">
      <w:pPr>
        <w:spacing w:after="194"/>
        <w:rPr>
          <w:rFonts w:cs="Times New Roman"/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52"/>
        <w:gridCol w:w="2675"/>
        <w:gridCol w:w="1447"/>
        <w:gridCol w:w="1476"/>
      </w:tblGrid>
      <w:tr w:rsidR="00F111F7">
        <w:trPr>
          <w:cantSplit/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  <w:r>
              <w:rPr>
                <w:sz w:val="16"/>
              </w:rPr>
              <w:t>Jednostka sprawozdawcza</w:t>
            </w: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  <w:r>
              <w:rPr>
                <w:sz w:val="16"/>
              </w:rPr>
              <w:t>Centrum Kultury w Sycowie</w:t>
            </w: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Numer identyfikacyjny </w:t>
            </w: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  <w:r>
              <w:rPr>
                <w:sz w:val="16"/>
              </w:rPr>
              <w:t>619-00-20-870</w:t>
            </w: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  <w:r>
              <w:rPr>
                <w:sz w:val="16"/>
              </w:rPr>
              <w:t>REGON 250038581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Zestawienie zmian w funduszu jednostki sporządzone</w:t>
            </w: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 dzień 31.12.2015 r.</w:t>
            </w: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F111F7" w:rsidRDefault="00F111F7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ind w:left="1044"/>
              <w:rPr>
                <w:sz w:val="16"/>
              </w:rPr>
            </w:pPr>
            <w:r>
              <w:rPr>
                <w:sz w:val="16"/>
              </w:rPr>
              <w:t xml:space="preserve">Adresat </w:t>
            </w:r>
          </w:p>
          <w:p w:rsidR="00F111F7" w:rsidRDefault="00F111F7">
            <w:pPr>
              <w:shd w:val="clear" w:color="auto" w:fill="FFFFFF"/>
              <w:spacing w:line="276" w:lineRule="auto"/>
              <w:ind w:left="1044"/>
              <w:rPr>
                <w:sz w:val="16"/>
              </w:rPr>
            </w:pPr>
            <w:r>
              <w:rPr>
                <w:sz w:val="16"/>
              </w:rPr>
              <w:t>Burmistrz Miasta i Gminy Syców</w:t>
            </w:r>
          </w:p>
        </w:tc>
      </w:tr>
      <w:tr w:rsidR="00F111F7">
        <w:trPr>
          <w:cantSplit/>
          <w:trHeight w:val="49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7" w:rsidRDefault="00F111F7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1F7" w:rsidRDefault="00F111F7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ind w:left="130"/>
              <w:rPr>
                <w:sz w:val="16"/>
              </w:rPr>
            </w:pPr>
            <w:r>
              <w:rPr>
                <w:sz w:val="16"/>
              </w:rPr>
              <w:t xml:space="preserve">Wysłać bez pisma przewodniego </w:t>
            </w:r>
          </w:p>
        </w:tc>
      </w:tr>
      <w:tr w:rsidR="00F111F7">
        <w:trPr>
          <w:cantSplit/>
          <w:trHeight w:hRule="exact" w:val="533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180" w:lineRule="exact"/>
              <w:ind w:right="29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Stan na koniec </w:t>
            </w:r>
            <w:r>
              <w:rPr>
                <w:color w:val="000000"/>
                <w:spacing w:val="-5"/>
                <w:sz w:val="16"/>
                <w:szCs w:val="16"/>
              </w:rPr>
              <w:t>roku poprzedniego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173" w:lineRule="exact"/>
              <w:ind w:left="65" w:right="137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Stan na koniec </w:t>
            </w:r>
            <w:r>
              <w:rPr>
                <w:color w:val="000000"/>
                <w:spacing w:val="-4"/>
                <w:sz w:val="16"/>
                <w:szCs w:val="16"/>
              </w:rPr>
              <w:t>roku bieżącego</w:t>
            </w:r>
          </w:p>
        </w:tc>
      </w:tr>
      <w:tr w:rsidR="00F111F7">
        <w:trPr>
          <w:trHeight w:hRule="exact" w:val="274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1. Fundusz jednostki na początek okresu (BO)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  <w:r>
              <w:t>781.866,31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  <w:r>
              <w:t>923.363,67</w:t>
            </w:r>
          </w:p>
        </w:tc>
      </w:tr>
      <w:tr w:rsidR="00F111F7">
        <w:trPr>
          <w:trHeight w:hRule="exact" w:val="288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4"/>
                <w:sz w:val="16"/>
                <w:szCs w:val="16"/>
              </w:rPr>
              <w:t>1 . Zwiększenia funduszu (z tytułu)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  <w:r>
              <w:t>197.107,86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  <w:r>
              <w:t>208.784,10</w:t>
            </w:r>
          </w:p>
        </w:tc>
      </w:tr>
      <w:tr w:rsidR="00F111F7">
        <w:trPr>
          <w:trHeight w:hRule="exact" w:val="274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1.1. Zysk bilansowy za lata ubiegłe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  <w:r>
              <w:t>77.107,83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  <w:r>
              <w:t>129.872,10</w:t>
            </w: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4"/>
                <w:sz w:val="16"/>
                <w:szCs w:val="16"/>
              </w:rPr>
              <w:t>1 .2. Zrealizowane wydatki budżetowe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425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173" w:lineRule="exact"/>
              <w:ind w:right="209"/>
            </w:pPr>
            <w:r>
              <w:rPr>
                <w:color w:val="000000"/>
                <w:spacing w:val="-5"/>
                <w:sz w:val="16"/>
                <w:szCs w:val="16"/>
              </w:rPr>
              <w:t>1 .3. Zrealizowane płatności ze środków europejskich na rzecz jednostki budżetowej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1.4. Środki na inwestycje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  <w:r>
              <w:t>120.000,03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  <w:r>
              <w:t>78.912,00</w:t>
            </w: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5"/>
                <w:sz w:val="16"/>
                <w:szCs w:val="16"/>
              </w:rPr>
              <w:t>1 .5. Aktualizacja środków trwałych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1.6. Nieodpłatnie otrzymane środki trwałe i inwestycje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74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  <w:sz w:val="16"/>
                <w:szCs w:val="16"/>
              </w:rPr>
              <w:t>1.7. Aktywa przejęte od zlikwidowanych (połączonych) jednostek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4"/>
                <w:sz w:val="16"/>
                <w:szCs w:val="16"/>
              </w:rPr>
              <w:t>1 .8. Aktywa otrzymane w ramach centralnego zaopatrzenia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4"/>
                <w:sz w:val="16"/>
                <w:szCs w:val="16"/>
              </w:rPr>
              <w:t>1 .9. Pozostałe odpisy z wyniku finansowego za rok bieżący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1.10. Inne zwiększenia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 Zmniejszenia funduszu jednostki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  <w:r>
              <w:t>31.266,94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  <w:r>
              <w:t>34.639,76</w:t>
            </w: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2.1. Strata za rok ubiegły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2.2. Zrealizowane dochody budżetowe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425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173" w:lineRule="exact"/>
              <w:ind w:right="432"/>
            </w:pPr>
            <w:r>
              <w:rPr>
                <w:color w:val="000000"/>
                <w:spacing w:val="-2"/>
                <w:sz w:val="16"/>
                <w:szCs w:val="16"/>
              </w:rPr>
              <w:t>2.3. Rozliczenie wyniku finansowego i środków obrotowych za rok ubiegły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2.4. Dotacje i środki na inwestycje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2.5. Aktualizacja środków trwałych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  <w:r>
              <w:t>31.266,94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  <w:r>
              <w:t>34.639,76</w:t>
            </w:r>
          </w:p>
        </w:tc>
      </w:tr>
      <w:tr w:rsidR="00F111F7">
        <w:trPr>
          <w:trHeight w:hRule="exact" w:val="418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166" w:lineRule="exact"/>
              <w:ind w:right="209"/>
            </w:pPr>
            <w:r>
              <w:rPr>
                <w:color w:val="000000"/>
                <w:spacing w:val="-3"/>
                <w:sz w:val="16"/>
                <w:szCs w:val="16"/>
              </w:rPr>
              <w:t>2.6, Wartość sprzedanych   nieodpłatnie przekazanych środków trwa</w:t>
            </w:r>
            <w:r>
              <w:rPr>
                <w:color w:val="000000"/>
                <w:spacing w:val="-3"/>
                <w:sz w:val="16"/>
                <w:szCs w:val="16"/>
              </w:rPr>
              <w:softHyphen/>
            </w:r>
            <w:r>
              <w:rPr>
                <w:color w:val="000000"/>
                <w:spacing w:val="-2"/>
                <w:sz w:val="16"/>
                <w:szCs w:val="16"/>
              </w:rPr>
              <w:t>łych i inwestycji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8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2.7. Pasywa przejęte od zlikwidowanych (połączonych) jednostek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74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2.8. Aktywa przekazane w ramach centralnego zaopatrzenia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2.9. inne zmniejszenia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II. Fundusz jednostki na koniec okresu (BZ)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  <w:r>
              <w:t>870.599,40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  <w:r>
              <w:t>967.635,91</w:t>
            </w: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III. Wynik finansowy netto za rok bieżący (+,-)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  <w:r>
              <w:t>52.764,27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  <w:r>
              <w:t>51.818,32</w:t>
            </w:r>
          </w:p>
        </w:tc>
      </w:tr>
      <w:tr w:rsidR="00F111F7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4"/>
                <w:sz w:val="16"/>
                <w:szCs w:val="16"/>
              </w:rPr>
              <w:t>1. zysk netto (+)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  <w:r>
              <w:t>52.764,27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  <w:r>
              <w:t>51.818,32</w:t>
            </w:r>
          </w:p>
        </w:tc>
      </w:tr>
      <w:tr w:rsidR="00F111F7">
        <w:trPr>
          <w:trHeight w:hRule="exact" w:val="274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1"/>
                <w:sz w:val="16"/>
                <w:szCs w:val="16"/>
              </w:rPr>
              <w:t>2. strata netto (-)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598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166" w:lineRule="exact"/>
              <w:ind w:right="130" w:firstLine="14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IV. Nadwyżka dochodów samorządowych jednostek budżetowych,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nadwyżka środków obrotowych samorządowych zakładów budże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pacing w:val="6"/>
                <w:sz w:val="16"/>
                <w:szCs w:val="16"/>
              </w:rPr>
              <w:t>towych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</w:p>
        </w:tc>
      </w:tr>
      <w:tr w:rsidR="00F111F7">
        <w:trPr>
          <w:trHeight w:hRule="exact" w:val="295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V. Fundusz ( ||+,-HI-IV)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1F7" w:rsidRDefault="00F111F7" w:rsidP="002359A5">
            <w:pPr>
              <w:shd w:val="clear" w:color="auto" w:fill="FFFFFF"/>
              <w:spacing w:line="276" w:lineRule="auto"/>
              <w:jc w:val="center"/>
            </w:pPr>
            <w:r>
              <w:t>923.363,67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1F7" w:rsidRDefault="00F111F7">
            <w:pPr>
              <w:shd w:val="clear" w:color="auto" w:fill="FFFFFF"/>
              <w:spacing w:line="276" w:lineRule="auto"/>
              <w:jc w:val="center"/>
            </w:pPr>
            <w:r>
              <w:t>1.019.454,23</w:t>
            </w:r>
          </w:p>
        </w:tc>
      </w:tr>
    </w:tbl>
    <w:p w:rsidR="00F111F7" w:rsidRDefault="00F111F7" w:rsidP="00D01F43">
      <w:pPr>
        <w:widowControl/>
        <w:autoSpaceDE/>
        <w:autoSpaceDN/>
        <w:adjustRightInd/>
        <w:sectPr w:rsidR="00F111F7">
          <w:pgSz w:w="11909" w:h="16834"/>
          <w:pgMar w:top="1417" w:right="1682" w:bottom="720" w:left="2077" w:header="708" w:footer="708" w:gutter="0"/>
          <w:cols w:space="708"/>
        </w:sect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</w:pPr>
      <w:r>
        <w:rPr>
          <w:color w:val="000000"/>
          <w:spacing w:val="-1"/>
          <w:sz w:val="13"/>
          <w:szCs w:val="13"/>
        </w:rPr>
        <w:t>(główny księgowy)</w:t>
      </w:r>
    </w:p>
    <w:p w:rsidR="00F111F7" w:rsidRDefault="00F111F7" w:rsidP="00D01F43">
      <w:pPr>
        <w:shd w:val="clear" w:color="auto" w:fill="FFFFFF"/>
      </w:pPr>
      <w:r>
        <w:br w:type="column"/>
      </w:r>
    </w:p>
    <w:p w:rsidR="00F111F7" w:rsidRDefault="00F111F7" w:rsidP="00D01F43">
      <w:pPr>
        <w:shd w:val="clear" w:color="auto" w:fill="FFFFFF"/>
      </w:pPr>
    </w:p>
    <w:p w:rsidR="00F111F7" w:rsidRDefault="00F111F7" w:rsidP="00D01F43">
      <w:pPr>
        <w:shd w:val="clear" w:color="auto" w:fill="FFFFFF"/>
      </w:pPr>
    </w:p>
    <w:p w:rsidR="00F111F7" w:rsidRDefault="00F111F7" w:rsidP="00D01F43">
      <w:pPr>
        <w:shd w:val="clear" w:color="auto" w:fill="FFFFFF"/>
      </w:pPr>
    </w:p>
    <w:p w:rsidR="00F111F7" w:rsidRDefault="00F111F7" w:rsidP="00D01F43">
      <w:pPr>
        <w:shd w:val="clear" w:color="auto" w:fill="FFFFFF"/>
      </w:pPr>
    </w:p>
    <w:p w:rsidR="00F111F7" w:rsidRDefault="00F111F7" w:rsidP="00D01F43">
      <w:pPr>
        <w:shd w:val="clear" w:color="auto" w:fill="FFFFFF"/>
      </w:pPr>
    </w:p>
    <w:p w:rsidR="00F111F7" w:rsidRDefault="00F111F7" w:rsidP="00D01F43">
      <w:pPr>
        <w:shd w:val="clear" w:color="auto" w:fill="FFFFFF"/>
      </w:pPr>
      <w:r>
        <w:t>2016-02-22</w:t>
      </w:r>
      <w:r>
        <w:rPr>
          <w:color w:val="000000"/>
          <w:spacing w:val="-1"/>
          <w:sz w:val="13"/>
          <w:szCs w:val="13"/>
        </w:rPr>
        <w:t xml:space="preserve"> (rok, miesiąc, dzień)</w:t>
      </w:r>
    </w:p>
    <w:p w:rsidR="00F111F7" w:rsidRDefault="00F111F7" w:rsidP="00D01F43">
      <w:pPr>
        <w:shd w:val="clear" w:color="auto" w:fill="FFFFFF"/>
        <w:spacing w:before="7"/>
      </w:pPr>
      <w:r>
        <w:br w:type="column"/>
      </w: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F111F7" w:rsidRDefault="00F111F7" w:rsidP="00D01F43">
      <w:pPr>
        <w:shd w:val="clear" w:color="auto" w:fill="FFFFFF"/>
        <w:spacing w:before="7"/>
        <w:sectPr w:rsidR="00F111F7">
          <w:type w:val="continuous"/>
          <w:pgSz w:w="11909" w:h="16834"/>
          <w:pgMar w:top="1417" w:right="2063" w:bottom="720" w:left="2206" w:header="708" w:footer="708" w:gutter="0"/>
          <w:cols w:num="3" w:space="708" w:equalWidth="0">
            <w:col w:w="1058" w:space="1786"/>
            <w:col w:w="1166" w:space="2455"/>
            <w:col w:w="1173"/>
          </w:cols>
        </w:sectPr>
      </w:pPr>
      <w:r>
        <w:rPr>
          <w:color w:val="000000"/>
          <w:spacing w:val="-1"/>
          <w:sz w:val="13"/>
          <w:szCs w:val="13"/>
        </w:rPr>
        <w:t>(Dyrektor)</w:t>
      </w:r>
    </w:p>
    <w:p w:rsidR="00F111F7" w:rsidRDefault="00F111F7"/>
    <w:sectPr w:rsidR="00F111F7" w:rsidSect="00FE2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F7" w:rsidRDefault="00F111F7" w:rsidP="00F143F2">
      <w:r>
        <w:separator/>
      </w:r>
    </w:p>
  </w:endnote>
  <w:endnote w:type="continuationSeparator" w:id="0">
    <w:p w:rsidR="00F111F7" w:rsidRDefault="00F111F7" w:rsidP="00F1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F7" w:rsidRDefault="00F111F7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alt="pf-06.png" style="position:absolute;margin-left:0;margin-top:0;width:595.15pt;height:48pt;z-index:-251654144;visibility:visible;mso-position-horizontal-relative:page;mso-position-vertical:bottom;mso-position-vertical-relative:page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F7" w:rsidRDefault="00F111F7" w:rsidP="00F143F2">
      <w:r>
        <w:separator/>
      </w:r>
    </w:p>
  </w:footnote>
  <w:footnote w:type="continuationSeparator" w:id="0">
    <w:p w:rsidR="00F111F7" w:rsidRDefault="00F111F7" w:rsidP="00F1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F7" w:rsidRDefault="00F111F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pf-05.png" style="position:absolute;margin-left:0;margin-top:0;width:128.6pt;height:70.55pt;z-index:-251656192;visibility:visible;mso-position-horizontal-relative:page;mso-position-vertical:top;mso-position-vertical-relative:page">
          <v:imagedata r:id="rId1" o:title=""/>
          <w10:wrap anchorx="page"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EE9"/>
    <w:rsid w:val="0001344F"/>
    <w:rsid w:val="000C0BA8"/>
    <w:rsid w:val="001838B3"/>
    <w:rsid w:val="001B4BDF"/>
    <w:rsid w:val="00210A37"/>
    <w:rsid w:val="00215BDD"/>
    <w:rsid w:val="002267ED"/>
    <w:rsid w:val="002359A5"/>
    <w:rsid w:val="00302917"/>
    <w:rsid w:val="0031129C"/>
    <w:rsid w:val="003261D5"/>
    <w:rsid w:val="003C507C"/>
    <w:rsid w:val="004C0788"/>
    <w:rsid w:val="004C4F86"/>
    <w:rsid w:val="00524158"/>
    <w:rsid w:val="00536CC4"/>
    <w:rsid w:val="0054522F"/>
    <w:rsid w:val="00566C9A"/>
    <w:rsid w:val="00722456"/>
    <w:rsid w:val="007D2EE9"/>
    <w:rsid w:val="007F2149"/>
    <w:rsid w:val="009C05C8"/>
    <w:rsid w:val="00A87DEE"/>
    <w:rsid w:val="00AE43E5"/>
    <w:rsid w:val="00B708E5"/>
    <w:rsid w:val="00CF5EA1"/>
    <w:rsid w:val="00D01F43"/>
    <w:rsid w:val="00D439C5"/>
    <w:rsid w:val="00E2295C"/>
    <w:rsid w:val="00E40552"/>
    <w:rsid w:val="00EB4F8C"/>
    <w:rsid w:val="00F111F7"/>
    <w:rsid w:val="00F143F2"/>
    <w:rsid w:val="00FE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143F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43F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143F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143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43F2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289</Words>
  <Characters>1735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ZMIAN W FUNDUSZU</dc:title>
  <dc:subject/>
  <dc:creator>CENTRUM KULTURY</dc:creator>
  <cp:keywords/>
  <dc:description/>
  <cp:lastModifiedBy>brmsycow@outlook.com</cp:lastModifiedBy>
  <cp:revision>2</cp:revision>
  <cp:lastPrinted>2016-02-11T08:07:00Z</cp:lastPrinted>
  <dcterms:created xsi:type="dcterms:W3CDTF">2016-05-04T10:49:00Z</dcterms:created>
  <dcterms:modified xsi:type="dcterms:W3CDTF">2016-05-04T10:49:00Z</dcterms:modified>
</cp:coreProperties>
</file>