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07AA7">
        <w:rPr>
          <w:rFonts w:ascii="Times New Roman" w:hAnsi="Times New Roman"/>
          <w:b/>
          <w:bCs/>
          <w:sz w:val="24"/>
          <w:szCs w:val="24"/>
        </w:rPr>
        <w:t xml:space="preserve">Objaśnienia wartości przyjętych w wieloletniej prognozie finansowej 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07AA7">
        <w:rPr>
          <w:rFonts w:ascii="Times New Roman" w:hAnsi="Times New Roman"/>
          <w:b/>
          <w:bCs/>
          <w:sz w:val="24"/>
          <w:szCs w:val="24"/>
        </w:rPr>
        <w:t>na lata 2016 do 2022 Miasta i Gminy Syców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Wieloletnia prognoza finansowa Miasta i Gminy została sporządzona zgodnie z art. 226-231 ustawy z dnia 27 sierpnia 2009 r. o finansach publicznych. Przy opracowaniu Wieloletniej Prognozy Finansowej uwzględnione zostały wytyczne Ministerstwa Finansów dotyczące założeń  makroekonomicznych. 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>W związku z art. 227 ustawy o finansach  publicznych WPF obejmuje  lata 2016-2022                     i ujmuje  prognozę kwoty długu, która stanowi jej integralną część. W załączniku Nr 1 do wieloletniej prognozy finansowej przedstawiono plan  budżetu na trzy kwartały roku 2015, przewidywane wykonanie na koniec  roku 2015, projekt budżetu na 2016 rok oraz prognozę na lata 2017-2022.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W latach objętych wieloletnią prognozą finansową poziom  dochodów i wydatków   oszacowano stosując zasadę ostrożności. Wielkości dla roku 2016 wynikają z projektu budżetu. 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Prognozowane  w latach 2016-2022 dochody nie zawierają  środków z budżetu Unii Europejskiej. Ostatni wpływ tych  środków na zadania z poprzedniego okresu  programowania nastąpił w roku 2015. 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Przyjęto ograniczenia dla wydatków bieżących  planując w kolejnych  latach  ich minimalny wzrost. 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Począwszy od  roku 2016 planowane są nadwyżki budżetowe mające finansować spłatę zobowiązań kredytowych. 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>Założenia  wieloletniej prognozy finansowej respektują zasadę zrównoważonego budżetu bieżącego wyrażona w art.242 ustawy o finansach publicznych.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07AA7">
        <w:rPr>
          <w:rFonts w:ascii="Times New Roman" w:hAnsi="Times New Roman"/>
          <w:b/>
          <w:bCs/>
          <w:sz w:val="24"/>
          <w:szCs w:val="24"/>
        </w:rPr>
        <w:t>Dochody: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>Poziom przewidywanego wykonania dochodów roku 2015 określony został na podstawie dotychczas zrealizowanych dochodów wg poszczególnych ich źródeł , jak również  prognozy wpływów środków do końca bieżącego roku.</w:t>
      </w:r>
      <w:r w:rsidRPr="00A07A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07AA7">
        <w:rPr>
          <w:rFonts w:ascii="Times New Roman" w:hAnsi="Times New Roman"/>
          <w:sz w:val="24"/>
          <w:szCs w:val="24"/>
        </w:rPr>
        <w:t xml:space="preserve">Wykonanie dochodów prognozowane jest  w wielkości planowanej  na III kwartał  bieżącego roku </w:t>
      </w:r>
      <w:r w:rsidRPr="00A07AA7">
        <w:rPr>
          <w:rFonts w:ascii="Times New Roman" w:hAnsi="Times New Roman"/>
          <w:b/>
          <w:bCs/>
          <w:sz w:val="24"/>
          <w:szCs w:val="24"/>
        </w:rPr>
        <w:t>.</w:t>
      </w:r>
      <w:r w:rsidRPr="00A07AA7">
        <w:rPr>
          <w:rFonts w:ascii="Times New Roman" w:hAnsi="Times New Roman"/>
          <w:sz w:val="24"/>
          <w:szCs w:val="24"/>
        </w:rPr>
        <w:t xml:space="preserve">W  roku 2016, dochody z tytułu sprzedaży składników majątkowych szacuje się na kwotę   799 000 zł. W roku 2017 zakłada sie wzrost dochodów z tego tytułu. Wynik ten planowany jest do osiągnięcia poprzez  przygotowanie do sprzedaży gruntów pod działalność gospodarczą.  Natomiast od  roku 2017 zakładany jest spadek dochodów z tytułu sprzedaży majątku. 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W kolejnych latach objętych WPF wzrost dochodów bieżących określono na poziomie wskaźników zaprezentowanych w wytycznych Ministra Finansów. 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Należy mieć na uwadze fakt, że planowanie w tak długim okresie obarczone jest  dużym ryzykiem. 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>Począwszy od  roku 2016 w konstrukcji WPF  nie uwzględniono wpływów środków europejskich, chociaż w nowej perspektywie finansowania obejmującą lata 2015-2020 środki takie z pewnością się pojawią. Będzie to wówczas podstawa do korekty prognozy.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07AA7">
        <w:rPr>
          <w:rFonts w:ascii="Times New Roman" w:hAnsi="Times New Roman"/>
          <w:b/>
          <w:bCs/>
          <w:sz w:val="24"/>
          <w:szCs w:val="24"/>
        </w:rPr>
        <w:t>Wydatki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>Konieczność obsługi  długu  wymusza racjonalizację wydatków bieżących. W roku 2016 założono  utrzymanie wydatków bieżących na poziomie roku bieżącego , jednocześnie w perspektywie  długofalowej planuje się ich utrzymanie na stałym  poziomie. Wyraźniejszy ich wzrost możliwy jest od roku 2020. Również w zakresie wydatków na wynagrodzenia i składek od nich naliczanych  nie przewiduje się  w latach objętych wieloletnią prognozą ich znacznego wzrostu. Od roku 2016  dla tej grupy wydatków przyjęto corocznie  wskaźnik  wzrostu wynikający z wytycznych Ministra Finansów z uwzględnieniem zmian organizacyjnych  . Ten sam współczynnik wzrostu przyjęty został do planowanych wydatków związanych z funkcjonowaniem organów gminy.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>W ramach przedsięwzięć, które ujęte zostały w wieloletniej prognozie finansowej wykazano kwoty wynikające z konieczności ich  realizacji.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Planowany od  roku 2016 spadek wydatków majątkowych determinowany jest wysokością kosztów obsługi zadłużenia. Jednocześnie projekt budżetu na rok 2016 przewiduje zasilenie budżetu 1 000 000 zł kredytu  natomiast założenia WPF  na dalsze  lata  nie przewiduje zasilania wydatków majątkowych  nowym i kredytami.  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>Od roku 2016 wydatki inwestycyjne kształtują się w przedziale 6-10 % wydatków ogólnych.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>Wydatki na obsługę długu zaplanowane zostały na podstawią harmonogramów spłat zaciągniętych kredytów. Na tej podstawie zaplanowano wysokość rozchodów w okresie od 2016 do 2022 roku.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07AA7">
        <w:rPr>
          <w:rFonts w:ascii="Times New Roman" w:hAnsi="Times New Roman"/>
          <w:b/>
          <w:bCs/>
          <w:sz w:val="24"/>
          <w:szCs w:val="24"/>
        </w:rPr>
        <w:t>Przychody.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>Projekt budżetu na rok 2015 przewiduje 1 000 000 zł kredytu natomiast w   prognozie finansowej na dalsze  lata  nie przewidziano nowych kredytów.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07AA7">
        <w:rPr>
          <w:rFonts w:ascii="Times New Roman" w:hAnsi="Times New Roman"/>
          <w:b/>
          <w:bCs/>
          <w:sz w:val="24"/>
          <w:szCs w:val="24"/>
        </w:rPr>
        <w:t>Rozchody.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Spłatę długu zaplanowano na podstawie harmonogramu spłat zaciągniętych kredytów. 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07AA7">
        <w:rPr>
          <w:rFonts w:ascii="Times New Roman" w:hAnsi="Times New Roman"/>
          <w:b/>
          <w:bCs/>
          <w:sz w:val="24"/>
          <w:szCs w:val="24"/>
        </w:rPr>
        <w:t>Wynik budżetu.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>Pozycja wynik budżetu jest  różnicą pomiędzy szacowanymi dochodami a planowanymi  wydatkami. Na rok 2016 zaplanowana została nadwyżka budżetowa w wysokości  1 700 000 zł. Nadwyżka budżetowa przeznaczona zostanie na spłatę kredytów. Również  w kolejnych  latach objętych wieloletnią prognozą finansową planowane budżety zamykają się nadwyżką budżetową z przeznaczeniem  jej na spłaty długu.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 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07AA7">
        <w:rPr>
          <w:rFonts w:ascii="Times New Roman" w:hAnsi="Times New Roman"/>
          <w:b/>
          <w:bCs/>
          <w:sz w:val="24"/>
          <w:szCs w:val="24"/>
        </w:rPr>
        <w:t>Kwota długu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>Kwota długu na koniec roku 2016 wniesie 15 756 300 zł.  Planowana spłata istniejącego zadłużenia zakończona zostanie  w roku 2022.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>W WPF na lata 2016-2022 zachowane  zostają  relacje, o których mowa w art.242 i art. 243 ustawy o finansach  publicznych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07AA7">
        <w:rPr>
          <w:rFonts w:ascii="Times New Roman" w:hAnsi="Times New Roman"/>
          <w:b/>
          <w:bCs/>
          <w:sz w:val="24"/>
          <w:szCs w:val="24"/>
        </w:rPr>
        <w:t>Przedsięwzięcia przyjęte w wieloletniej prognozie finansowej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E557A" w:rsidRPr="00A07AA7" w:rsidRDefault="00DE557A" w:rsidP="00A07AA7">
      <w:pPr>
        <w:numPr>
          <w:ilvl w:val="0"/>
          <w:numId w:val="1"/>
        </w:numPr>
        <w:tabs>
          <w:tab w:val="left" w:pos="708"/>
          <w:tab w:val="left" w:pos="106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>w ramach wydatków bieżących:</w:t>
      </w:r>
    </w:p>
    <w:p w:rsidR="00DE557A" w:rsidRPr="00A07AA7" w:rsidRDefault="00DE557A" w:rsidP="00A07AA7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- Opracowanie MPZP.  Zakłada się realizację tego projektu w latach 2015-2016. </w:t>
      </w:r>
    </w:p>
    <w:p w:rsidR="00DE557A" w:rsidRPr="00A07AA7" w:rsidRDefault="00DE557A" w:rsidP="00A07AA7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  Całkowita wartość projektu  szacowana jest na kwotę 83 173 zł, z tego w roku 2015</w:t>
      </w:r>
    </w:p>
    <w:p w:rsidR="00DE557A" w:rsidRPr="00A07AA7" w:rsidRDefault="00DE557A" w:rsidP="00A07AA7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  wydanych zostanie  41 586 zł natomiast w roku 2016 41 586 zł.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      2.</w:t>
      </w:r>
      <w:r w:rsidRPr="00A07AA7">
        <w:rPr>
          <w:rFonts w:ascii="Times New Roman" w:hAnsi="Times New Roman"/>
          <w:sz w:val="24"/>
          <w:szCs w:val="24"/>
        </w:rPr>
        <w:tab/>
        <w:t>w ramach wydatków majątkowych: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     - Utrzymanie projektu- modernizacja oczyszczalni ścieków. Projekt realizowany jest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       w latach 2012-2022.  </w:t>
      </w:r>
    </w:p>
    <w:p w:rsidR="00DE557A" w:rsidRPr="00A07AA7" w:rsidRDefault="00DE557A" w:rsidP="00A07A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AA7">
        <w:rPr>
          <w:rFonts w:ascii="Times New Roman" w:hAnsi="Times New Roman"/>
          <w:sz w:val="24"/>
          <w:szCs w:val="24"/>
        </w:rPr>
        <w:t xml:space="preserve">       Całkowita wartość projektu  wynosi e 3 131 620 zł, w tym w roku 2016 jest to kwota</w:t>
      </w:r>
    </w:p>
    <w:p w:rsidR="00DE557A" w:rsidRDefault="00DE557A" w:rsidP="00067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</w:pPr>
      <w:r w:rsidRPr="00A07AA7">
        <w:rPr>
          <w:rFonts w:ascii="Times New Roman" w:hAnsi="Times New Roman"/>
          <w:sz w:val="24"/>
          <w:szCs w:val="24"/>
        </w:rPr>
        <w:t xml:space="preserve">       313 162 zł.</w:t>
      </w:r>
    </w:p>
    <w:sectPr w:rsidR="00DE557A" w:rsidSect="00F20FB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425" w:hanging="70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785" w:hanging="70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2145" w:hanging="70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505" w:hanging="70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865" w:hanging="70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3225" w:hanging="70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585" w:hanging="70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945" w:hanging="70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AA7"/>
    <w:rsid w:val="0000076D"/>
    <w:rsid w:val="00002FB2"/>
    <w:rsid w:val="00007393"/>
    <w:rsid w:val="000102A2"/>
    <w:rsid w:val="000143C1"/>
    <w:rsid w:val="00014809"/>
    <w:rsid w:val="00017F97"/>
    <w:rsid w:val="00022F6F"/>
    <w:rsid w:val="000279EB"/>
    <w:rsid w:val="000323AA"/>
    <w:rsid w:val="00035E1C"/>
    <w:rsid w:val="0004276C"/>
    <w:rsid w:val="0004545E"/>
    <w:rsid w:val="00045ECF"/>
    <w:rsid w:val="00061ABF"/>
    <w:rsid w:val="000622DA"/>
    <w:rsid w:val="00064123"/>
    <w:rsid w:val="000657ED"/>
    <w:rsid w:val="00065EF1"/>
    <w:rsid w:val="00065F7E"/>
    <w:rsid w:val="00066F2D"/>
    <w:rsid w:val="000670FC"/>
    <w:rsid w:val="000726E6"/>
    <w:rsid w:val="00076016"/>
    <w:rsid w:val="00080B7F"/>
    <w:rsid w:val="000850CC"/>
    <w:rsid w:val="00087FE6"/>
    <w:rsid w:val="0009676A"/>
    <w:rsid w:val="000A29D9"/>
    <w:rsid w:val="000A3C6E"/>
    <w:rsid w:val="000A4CF6"/>
    <w:rsid w:val="000A7598"/>
    <w:rsid w:val="000B30C4"/>
    <w:rsid w:val="000B7881"/>
    <w:rsid w:val="000D21F4"/>
    <w:rsid w:val="000D28BD"/>
    <w:rsid w:val="000E0261"/>
    <w:rsid w:val="000E3D93"/>
    <w:rsid w:val="000E474F"/>
    <w:rsid w:val="000E7A6E"/>
    <w:rsid w:val="000F30AF"/>
    <w:rsid w:val="000F5F30"/>
    <w:rsid w:val="000F64B6"/>
    <w:rsid w:val="000F7780"/>
    <w:rsid w:val="00102E99"/>
    <w:rsid w:val="00104B31"/>
    <w:rsid w:val="00105B07"/>
    <w:rsid w:val="00120EF3"/>
    <w:rsid w:val="00123543"/>
    <w:rsid w:val="00127957"/>
    <w:rsid w:val="00132CF6"/>
    <w:rsid w:val="001417ED"/>
    <w:rsid w:val="0014278E"/>
    <w:rsid w:val="00143AB1"/>
    <w:rsid w:val="00147DC0"/>
    <w:rsid w:val="001547B5"/>
    <w:rsid w:val="001575CE"/>
    <w:rsid w:val="001611F0"/>
    <w:rsid w:val="00171AF4"/>
    <w:rsid w:val="0017258E"/>
    <w:rsid w:val="001760A4"/>
    <w:rsid w:val="0018124F"/>
    <w:rsid w:val="00181AB9"/>
    <w:rsid w:val="00186044"/>
    <w:rsid w:val="001913D3"/>
    <w:rsid w:val="00191CF3"/>
    <w:rsid w:val="00191DA2"/>
    <w:rsid w:val="00197A50"/>
    <w:rsid w:val="001A0D97"/>
    <w:rsid w:val="001A51D4"/>
    <w:rsid w:val="001C4DF4"/>
    <w:rsid w:val="001D4C43"/>
    <w:rsid w:val="001D4F10"/>
    <w:rsid w:val="001D7644"/>
    <w:rsid w:val="001E1979"/>
    <w:rsid w:val="001E2ADC"/>
    <w:rsid w:val="001E2C9B"/>
    <w:rsid w:val="001F079A"/>
    <w:rsid w:val="001F25DB"/>
    <w:rsid w:val="001F266D"/>
    <w:rsid w:val="00201846"/>
    <w:rsid w:val="002054C8"/>
    <w:rsid w:val="00207DDE"/>
    <w:rsid w:val="002101F5"/>
    <w:rsid w:val="0021035F"/>
    <w:rsid w:val="002130B9"/>
    <w:rsid w:val="002130DA"/>
    <w:rsid w:val="00214DAE"/>
    <w:rsid w:val="00215ED1"/>
    <w:rsid w:val="002164A7"/>
    <w:rsid w:val="00226596"/>
    <w:rsid w:val="00231DEA"/>
    <w:rsid w:val="0023354F"/>
    <w:rsid w:val="00241DAB"/>
    <w:rsid w:val="00242F32"/>
    <w:rsid w:val="00243AA0"/>
    <w:rsid w:val="00244FFC"/>
    <w:rsid w:val="00245A17"/>
    <w:rsid w:val="0025292F"/>
    <w:rsid w:val="00255B79"/>
    <w:rsid w:val="0025605C"/>
    <w:rsid w:val="002661B3"/>
    <w:rsid w:val="00273964"/>
    <w:rsid w:val="00275294"/>
    <w:rsid w:val="00275481"/>
    <w:rsid w:val="002764A2"/>
    <w:rsid w:val="00277564"/>
    <w:rsid w:val="002815A4"/>
    <w:rsid w:val="0028289B"/>
    <w:rsid w:val="002857DF"/>
    <w:rsid w:val="00293031"/>
    <w:rsid w:val="002932BA"/>
    <w:rsid w:val="002933B8"/>
    <w:rsid w:val="00296B89"/>
    <w:rsid w:val="002975CD"/>
    <w:rsid w:val="002A04ED"/>
    <w:rsid w:val="002A6819"/>
    <w:rsid w:val="002B55A4"/>
    <w:rsid w:val="002C19C5"/>
    <w:rsid w:val="002C2416"/>
    <w:rsid w:val="002C5122"/>
    <w:rsid w:val="002C5F22"/>
    <w:rsid w:val="002D05B3"/>
    <w:rsid w:val="002D1EC7"/>
    <w:rsid w:val="002D53C9"/>
    <w:rsid w:val="002D5721"/>
    <w:rsid w:val="002E3C10"/>
    <w:rsid w:val="002E3F76"/>
    <w:rsid w:val="002E570A"/>
    <w:rsid w:val="002F1DC4"/>
    <w:rsid w:val="002F391F"/>
    <w:rsid w:val="002F6BCE"/>
    <w:rsid w:val="003032E3"/>
    <w:rsid w:val="0031147C"/>
    <w:rsid w:val="00311C59"/>
    <w:rsid w:val="00314AEE"/>
    <w:rsid w:val="00317720"/>
    <w:rsid w:val="00320AA6"/>
    <w:rsid w:val="00322501"/>
    <w:rsid w:val="00322BE1"/>
    <w:rsid w:val="00322FFF"/>
    <w:rsid w:val="00325CA6"/>
    <w:rsid w:val="00326A39"/>
    <w:rsid w:val="00327526"/>
    <w:rsid w:val="0032788C"/>
    <w:rsid w:val="003371FE"/>
    <w:rsid w:val="0034446B"/>
    <w:rsid w:val="0034462E"/>
    <w:rsid w:val="00345659"/>
    <w:rsid w:val="003472FA"/>
    <w:rsid w:val="003509B9"/>
    <w:rsid w:val="003534F6"/>
    <w:rsid w:val="003541C8"/>
    <w:rsid w:val="00360A81"/>
    <w:rsid w:val="00361679"/>
    <w:rsid w:val="00365363"/>
    <w:rsid w:val="00366F50"/>
    <w:rsid w:val="00370CEC"/>
    <w:rsid w:val="00371A2A"/>
    <w:rsid w:val="00373500"/>
    <w:rsid w:val="00373C91"/>
    <w:rsid w:val="00374425"/>
    <w:rsid w:val="003744F4"/>
    <w:rsid w:val="00375CB7"/>
    <w:rsid w:val="00380BA0"/>
    <w:rsid w:val="00384829"/>
    <w:rsid w:val="003870A6"/>
    <w:rsid w:val="003A3495"/>
    <w:rsid w:val="003A3B4B"/>
    <w:rsid w:val="003B1BB3"/>
    <w:rsid w:val="003B3609"/>
    <w:rsid w:val="003B3BA8"/>
    <w:rsid w:val="003B7F4F"/>
    <w:rsid w:val="003C4125"/>
    <w:rsid w:val="003C5411"/>
    <w:rsid w:val="003C5432"/>
    <w:rsid w:val="003D1E69"/>
    <w:rsid w:val="003D2201"/>
    <w:rsid w:val="003D50EB"/>
    <w:rsid w:val="003D5E5D"/>
    <w:rsid w:val="003D65F4"/>
    <w:rsid w:val="003D79F5"/>
    <w:rsid w:val="003E5F3A"/>
    <w:rsid w:val="003F0643"/>
    <w:rsid w:val="003F1859"/>
    <w:rsid w:val="00401D7C"/>
    <w:rsid w:val="00402D68"/>
    <w:rsid w:val="00403932"/>
    <w:rsid w:val="00405097"/>
    <w:rsid w:val="004053A9"/>
    <w:rsid w:val="0040710E"/>
    <w:rsid w:val="004130C7"/>
    <w:rsid w:val="0041605D"/>
    <w:rsid w:val="00425ECD"/>
    <w:rsid w:val="00427178"/>
    <w:rsid w:val="0042781B"/>
    <w:rsid w:val="004323C7"/>
    <w:rsid w:val="0043369F"/>
    <w:rsid w:val="00435122"/>
    <w:rsid w:val="00437263"/>
    <w:rsid w:val="00442407"/>
    <w:rsid w:val="00443D0E"/>
    <w:rsid w:val="00443D3D"/>
    <w:rsid w:val="0044466C"/>
    <w:rsid w:val="004526FF"/>
    <w:rsid w:val="00455260"/>
    <w:rsid w:val="004655CA"/>
    <w:rsid w:val="0046575C"/>
    <w:rsid w:val="00465C06"/>
    <w:rsid w:val="004671FD"/>
    <w:rsid w:val="00472F1E"/>
    <w:rsid w:val="00473008"/>
    <w:rsid w:val="004757BB"/>
    <w:rsid w:val="00486FCC"/>
    <w:rsid w:val="00493378"/>
    <w:rsid w:val="00493905"/>
    <w:rsid w:val="00493CEF"/>
    <w:rsid w:val="00493D9F"/>
    <w:rsid w:val="004B0864"/>
    <w:rsid w:val="004B11DC"/>
    <w:rsid w:val="004C0994"/>
    <w:rsid w:val="004C42AC"/>
    <w:rsid w:val="004C58F9"/>
    <w:rsid w:val="004D1090"/>
    <w:rsid w:val="004D3BD5"/>
    <w:rsid w:val="004D4FBE"/>
    <w:rsid w:val="004D54D5"/>
    <w:rsid w:val="004D65CC"/>
    <w:rsid w:val="004E22CE"/>
    <w:rsid w:val="004F2F48"/>
    <w:rsid w:val="004F42AB"/>
    <w:rsid w:val="004F53A5"/>
    <w:rsid w:val="004F5D42"/>
    <w:rsid w:val="004F6DA5"/>
    <w:rsid w:val="0050561B"/>
    <w:rsid w:val="00516BA5"/>
    <w:rsid w:val="005176A5"/>
    <w:rsid w:val="00520B05"/>
    <w:rsid w:val="005244BC"/>
    <w:rsid w:val="00527136"/>
    <w:rsid w:val="005304A5"/>
    <w:rsid w:val="0053062D"/>
    <w:rsid w:val="00530A78"/>
    <w:rsid w:val="00535232"/>
    <w:rsid w:val="0053603D"/>
    <w:rsid w:val="005417B4"/>
    <w:rsid w:val="00543129"/>
    <w:rsid w:val="005465CB"/>
    <w:rsid w:val="0054786B"/>
    <w:rsid w:val="00550A6B"/>
    <w:rsid w:val="0055649E"/>
    <w:rsid w:val="00556676"/>
    <w:rsid w:val="005572D1"/>
    <w:rsid w:val="00561576"/>
    <w:rsid w:val="005622AE"/>
    <w:rsid w:val="00565F6D"/>
    <w:rsid w:val="005861FE"/>
    <w:rsid w:val="00590B12"/>
    <w:rsid w:val="0059604D"/>
    <w:rsid w:val="00596F5C"/>
    <w:rsid w:val="005A14D2"/>
    <w:rsid w:val="005A31AE"/>
    <w:rsid w:val="005A5171"/>
    <w:rsid w:val="005B24A4"/>
    <w:rsid w:val="005B3AA0"/>
    <w:rsid w:val="005B494F"/>
    <w:rsid w:val="005C0425"/>
    <w:rsid w:val="005C126D"/>
    <w:rsid w:val="005D0A37"/>
    <w:rsid w:val="005D2B10"/>
    <w:rsid w:val="005D4F6D"/>
    <w:rsid w:val="005D5E90"/>
    <w:rsid w:val="005D7D2D"/>
    <w:rsid w:val="005E0587"/>
    <w:rsid w:val="005E2AE8"/>
    <w:rsid w:val="005F1DB8"/>
    <w:rsid w:val="005F564A"/>
    <w:rsid w:val="005F5920"/>
    <w:rsid w:val="005F6CF3"/>
    <w:rsid w:val="005F73FC"/>
    <w:rsid w:val="005F769B"/>
    <w:rsid w:val="00602469"/>
    <w:rsid w:val="00605894"/>
    <w:rsid w:val="006059D5"/>
    <w:rsid w:val="00615B39"/>
    <w:rsid w:val="006215E8"/>
    <w:rsid w:val="00624AFA"/>
    <w:rsid w:val="00625AAA"/>
    <w:rsid w:val="00631ED9"/>
    <w:rsid w:val="00632C7D"/>
    <w:rsid w:val="006335E3"/>
    <w:rsid w:val="00640FB3"/>
    <w:rsid w:val="006412BE"/>
    <w:rsid w:val="00647F72"/>
    <w:rsid w:val="0065299E"/>
    <w:rsid w:val="00652F87"/>
    <w:rsid w:val="006534E5"/>
    <w:rsid w:val="00655CDC"/>
    <w:rsid w:val="00660654"/>
    <w:rsid w:val="00664D1C"/>
    <w:rsid w:val="00670E0D"/>
    <w:rsid w:val="0067195C"/>
    <w:rsid w:val="00673C17"/>
    <w:rsid w:val="006756DD"/>
    <w:rsid w:val="00675AE7"/>
    <w:rsid w:val="00682423"/>
    <w:rsid w:val="006830DF"/>
    <w:rsid w:val="00686B6F"/>
    <w:rsid w:val="00687B73"/>
    <w:rsid w:val="00695305"/>
    <w:rsid w:val="00696833"/>
    <w:rsid w:val="006A0BBA"/>
    <w:rsid w:val="006A638A"/>
    <w:rsid w:val="006B2ED7"/>
    <w:rsid w:val="006B352C"/>
    <w:rsid w:val="006B6331"/>
    <w:rsid w:val="006C3639"/>
    <w:rsid w:val="006C37CD"/>
    <w:rsid w:val="006D06C0"/>
    <w:rsid w:val="006D0C5F"/>
    <w:rsid w:val="006D3A83"/>
    <w:rsid w:val="006D577E"/>
    <w:rsid w:val="006D5CE7"/>
    <w:rsid w:val="006E3FEF"/>
    <w:rsid w:val="006F20BA"/>
    <w:rsid w:val="006F35BC"/>
    <w:rsid w:val="006F412B"/>
    <w:rsid w:val="006F687C"/>
    <w:rsid w:val="006F693A"/>
    <w:rsid w:val="00701FDC"/>
    <w:rsid w:val="00706B0F"/>
    <w:rsid w:val="00706E10"/>
    <w:rsid w:val="00711F32"/>
    <w:rsid w:val="0071205A"/>
    <w:rsid w:val="007128FA"/>
    <w:rsid w:val="0071439E"/>
    <w:rsid w:val="00715A44"/>
    <w:rsid w:val="0072002D"/>
    <w:rsid w:val="00736F62"/>
    <w:rsid w:val="00743482"/>
    <w:rsid w:val="00750CB7"/>
    <w:rsid w:val="00752F40"/>
    <w:rsid w:val="0075330D"/>
    <w:rsid w:val="0075439F"/>
    <w:rsid w:val="007636DD"/>
    <w:rsid w:val="00763A80"/>
    <w:rsid w:val="00763F74"/>
    <w:rsid w:val="007704D1"/>
    <w:rsid w:val="00774CDB"/>
    <w:rsid w:val="007776A5"/>
    <w:rsid w:val="00777D2E"/>
    <w:rsid w:val="00780765"/>
    <w:rsid w:val="00781F66"/>
    <w:rsid w:val="00781FEB"/>
    <w:rsid w:val="007860DB"/>
    <w:rsid w:val="00787625"/>
    <w:rsid w:val="00790118"/>
    <w:rsid w:val="0079303C"/>
    <w:rsid w:val="007932EC"/>
    <w:rsid w:val="0079733F"/>
    <w:rsid w:val="007A09F1"/>
    <w:rsid w:val="007A5E99"/>
    <w:rsid w:val="007B01C8"/>
    <w:rsid w:val="007B672E"/>
    <w:rsid w:val="007B6E45"/>
    <w:rsid w:val="007C1AD3"/>
    <w:rsid w:val="007C2BDE"/>
    <w:rsid w:val="007D681C"/>
    <w:rsid w:val="007E21E0"/>
    <w:rsid w:val="007E5FE7"/>
    <w:rsid w:val="007E6B63"/>
    <w:rsid w:val="007F1647"/>
    <w:rsid w:val="007F1A40"/>
    <w:rsid w:val="008068A1"/>
    <w:rsid w:val="00806E9E"/>
    <w:rsid w:val="008121C7"/>
    <w:rsid w:val="00813DB1"/>
    <w:rsid w:val="00816E1E"/>
    <w:rsid w:val="00824638"/>
    <w:rsid w:val="008319A0"/>
    <w:rsid w:val="00832587"/>
    <w:rsid w:val="00833CAF"/>
    <w:rsid w:val="00836F8D"/>
    <w:rsid w:val="00840054"/>
    <w:rsid w:val="00840323"/>
    <w:rsid w:val="008448AD"/>
    <w:rsid w:val="00845AEB"/>
    <w:rsid w:val="00846350"/>
    <w:rsid w:val="0085598B"/>
    <w:rsid w:val="00863C70"/>
    <w:rsid w:val="008640CD"/>
    <w:rsid w:val="00871D5A"/>
    <w:rsid w:val="00872C53"/>
    <w:rsid w:val="008732A1"/>
    <w:rsid w:val="00875374"/>
    <w:rsid w:val="00876394"/>
    <w:rsid w:val="008774CB"/>
    <w:rsid w:val="00882257"/>
    <w:rsid w:val="00897E15"/>
    <w:rsid w:val="008A6DD7"/>
    <w:rsid w:val="008B2C73"/>
    <w:rsid w:val="008B5639"/>
    <w:rsid w:val="008B74D6"/>
    <w:rsid w:val="008C0C59"/>
    <w:rsid w:val="008C150F"/>
    <w:rsid w:val="008C6FDA"/>
    <w:rsid w:val="008D26C5"/>
    <w:rsid w:val="008D3828"/>
    <w:rsid w:val="008E3FA0"/>
    <w:rsid w:val="008E754A"/>
    <w:rsid w:val="008E77CC"/>
    <w:rsid w:val="008F0E4D"/>
    <w:rsid w:val="008F4296"/>
    <w:rsid w:val="008F647D"/>
    <w:rsid w:val="008F7CE7"/>
    <w:rsid w:val="00902B7F"/>
    <w:rsid w:val="0091593A"/>
    <w:rsid w:val="00930F3F"/>
    <w:rsid w:val="00933C22"/>
    <w:rsid w:val="009345BA"/>
    <w:rsid w:val="00936F8D"/>
    <w:rsid w:val="00941BA2"/>
    <w:rsid w:val="009457F3"/>
    <w:rsid w:val="00950BDE"/>
    <w:rsid w:val="00952707"/>
    <w:rsid w:val="00952F12"/>
    <w:rsid w:val="00957EBB"/>
    <w:rsid w:val="0096075C"/>
    <w:rsid w:val="00963A7E"/>
    <w:rsid w:val="00966231"/>
    <w:rsid w:val="0096705E"/>
    <w:rsid w:val="00970799"/>
    <w:rsid w:val="00970B2E"/>
    <w:rsid w:val="009723E9"/>
    <w:rsid w:val="00977061"/>
    <w:rsid w:val="009779AE"/>
    <w:rsid w:val="00980074"/>
    <w:rsid w:val="00982823"/>
    <w:rsid w:val="00985A60"/>
    <w:rsid w:val="00986D41"/>
    <w:rsid w:val="009920F6"/>
    <w:rsid w:val="00995898"/>
    <w:rsid w:val="00996763"/>
    <w:rsid w:val="009A343C"/>
    <w:rsid w:val="009B0409"/>
    <w:rsid w:val="009B1CCC"/>
    <w:rsid w:val="009C123C"/>
    <w:rsid w:val="009C7B29"/>
    <w:rsid w:val="009C7BAB"/>
    <w:rsid w:val="009D6E6F"/>
    <w:rsid w:val="009D7BA7"/>
    <w:rsid w:val="009E7E50"/>
    <w:rsid w:val="009F0C14"/>
    <w:rsid w:val="009F12C1"/>
    <w:rsid w:val="009F19F7"/>
    <w:rsid w:val="009F41A0"/>
    <w:rsid w:val="00A0247E"/>
    <w:rsid w:val="00A03858"/>
    <w:rsid w:val="00A068B8"/>
    <w:rsid w:val="00A07AA7"/>
    <w:rsid w:val="00A17038"/>
    <w:rsid w:val="00A22A33"/>
    <w:rsid w:val="00A232B1"/>
    <w:rsid w:val="00A23F5F"/>
    <w:rsid w:val="00A24C8F"/>
    <w:rsid w:val="00A33939"/>
    <w:rsid w:val="00A35E61"/>
    <w:rsid w:val="00A36FED"/>
    <w:rsid w:val="00A416C0"/>
    <w:rsid w:val="00A41747"/>
    <w:rsid w:val="00A43C04"/>
    <w:rsid w:val="00A47AB7"/>
    <w:rsid w:val="00A50FF9"/>
    <w:rsid w:val="00A52502"/>
    <w:rsid w:val="00A54902"/>
    <w:rsid w:val="00A574A1"/>
    <w:rsid w:val="00A617D9"/>
    <w:rsid w:val="00A64D7C"/>
    <w:rsid w:val="00A723CC"/>
    <w:rsid w:val="00A74019"/>
    <w:rsid w:val="00A85B83"/>
    <w:rsid w:val="00A90341"/>
    <w:rsid w:val="00A92A61"/>
    <w:rsid w:val="00A9530A"/>
    <w:rsid w:val="00AA103B"/>
    <w:rsid w:val="00AA3A72"/>
    <w:rsid w:val="00AA5AF2"/>
    <w:rsid w:val="00AA5D19"/>
    <w:rsid w:val="00AA5FE9"/>
    <w:rsid w:val="00AB557B"/>
    <w:rsid w:val="00AC13B7"/>
    <w:rsid w:val="00AC2EB4"/>
    <w:rsid w:val="00AC5604"/>
    <w:rsid w:val="00AD0868"/>
    <w:rsid w:val="00AD51C4"/>
    <w:rsid w:val="00AD665B"/>
    <w:rsid w:val="00AD6C35"/>
    <w:rsid w:val="00AE0D4B"/>
    <w:rsid w:val="00AE1275"/>
    <w:rsid w:val="00AE490E"/>
    <w:rsid w:val="00AF12D8"/>
    <w:rsid w:val="00AF5380"/>
    <w:rsid w:val="00AF60A7"/>
    <w:rsid w:val="00B00BEC"/>
    <w:rsid w:val="00B01FCB"/>
    <w:rsid w:val="00B03004"/>
    <w:rsid w:val="00B03B82"/>
    <w:rsid w:val="00B04A37"/>
    <w:rsid w:val="00B07571"/>
    <w:rsid w:val="00B10A2C"/>
    <w:rsid w:val="00B10A76"/>
    <w:rsid w:val="00B1344B"/>
    <w:rsid w:val="00B15A75"/>
    <w:rsid w:val="00B219D5"/>
    <w:rsid w:val="00B30B2E"/>
    <w:rsid w:val="00B31FB5"/>
    <w:rsid w:val="00B32C91"/>
    <w:rsid w:val="00B3685B"/>
    <w:rsid w:val="00B4055A"/>
    <w:rsid w:val="00B4120E"/>
    <w:rsid w:val="00B41536"/>
    <w:rsid w:val="00B43F7D"/>
    <w:rsid w:val="00B56CF1"/>
    <w:rsid w:val="00B6024D"/>
    <w:rsid w:val="00B66833"/>
    <w:rsid w:val="00B67095"/>
    <w:rsid w:val="00B70670"/>
    <w:rsid w:val="00B7238D"/>
    <w:rsid w:val="00B7346E"/>
    <w:rsid w:val="00B73DB7"/>
    <w:rsid w:val="00B74C36"/>
    <w:rsid w:val="00B76AAB"/>
    <w:rsid w:val="00B778A8"/>
    <w:rsid w:val="00B779A2"/>
    <w:rsid w:val="00B77D19"/>
    <w:rsid w:val="00B85489"/>
    <w:rsid w:val="00B95FA1"/>
    <w:rsid w:val="00B974C4"/>
    <w:rsid w:val="00BA2E45"/>
    <w:rsid w:val="00BA3B67"/>
    <w:rsid w:val="00BA744E"/>
    <w:rsid w:val="00BA7C67"/>
    <w:rsid w:val="00BB2C43"/>
    <w:rsid w:val="00BB647C"/>
    <w:rsid w:val="00BB6F5C"/>
    <w:rsid w:val="00BB76BA"/>
    <w:rsid w:val="00BC0105"/>
    <w:rsid w:val="00BC26C2"/>
    <w:rsid w:val="00BC35BE"/>
    <w:rsid w:val="00BC74DA"/>
    <w:rsid w:val="00BD101C"/>
    <w:rsid w:val="00BE0EA3"/>
    <w:rsid w:val="00BE7059"/>
    <w:rsid w:val="00BF0C4E"/>
    <w:rsid w:val="00BF3BFD"/>
    <w:rsid w:val="00C00A27"/>
    <w:rsid w:val="00C03E4F"/>
    <w:rsid w:val="00C17BCF"/>
    <w:rsid w:val="00C200D0"/>
    <w:rsid w:val="00C201C8"/>
    <w:rsid w:val="00C215B9"/>
    <w:rsid w:val="00C2442A"/>
    <w:rsid w:val="00C25DCE"/>
    <w:rsid w:val="00C30E8D"/>
    <w:rsid w:val="00C31111"/>
    <w:rsid w:val="00C311AA"/>
    <w:rsid w:val="00C327A5"/>
    <w:rsid w:val="00C32DD8"/>
    <w:rsid w:val="00C41892"/>
    <w:rsid w:val="00C42559"/>
    <w:rsid w:val="00C44F79"/>
    <w:rsid w:val="00C47017"/>
    <w:rsid w:val="00C479C1"/>
    <w:rsid w:val="00C52A51"/>
    <w:rsid w:val="00C53426"/>
    <w:rsid w:val="00C54841"/>
    <w:rsid w:val="00C54BFD"/>
    <w:rsid w:val="00C56D05"/>
    <w:rsid w:val="00C60502"/>
    <w:rsid w:val="00C6477E"/>
    <w:rsid w:val="00C64A62"/>
    <w:rsid w:val="00C70008"/>
    <w:rsid w:val="00C70ECC"/>
    <w:rsid w:val="00C74656"/>
    <w:rsid w:val="00C76A6A"/>
    <w:rsid w:val="00C77CD9"/>
    <w:rsid w:val="00C80570"/>
    <w:rsid w:val="00C8573B"/>
    <w:rsid w:val="00C865D2"/>
    <w:rsid w:val="00C874B4"/>
    <w:rsid w:val="00C90080"/>
    <w:rsid w:val="00C93B61"/>
    <w:rsid w:val="00C942C2"/>
    <w:rsid w:val="00CA2EFC"/>
    <w:rsid w:val="00CB0C2E"/>
    <w:rsid w:val="00CB20FD"/>
    <w:rsid w:val="00CC019F"/>
    <w:rsid w:val="00CC16B1"/>
    <w:rsid w:val="00CC2946"/>
    <w:rsid w:val="00CC4659"/>
    <w:rsid w:val="00CC49E8"/>
    <w:rsid w:val="00CC7B27"/>
    <w:rsid w:val="00CD0336"/>
    <w:rsid w:val="00CD12A6"/>
    <w:rsid w:val="00CD16E3"/>
    <w:rsid w:val="00CD427E"/>
    <w:rsid w:val="00CD7CFE"/>
    <w:rsid w:val="00CE3189"/>
    <w:rsid w:val="00CE40B3"/>
    <w:rsid w:val="00CF22E8"/>
    <w:rsid w:val="00CF3430"/>
    <w:rsid w:val="00CF489B"/>
    <w:rsid w:val="00CF4B74"/>
    <w:rsid w:val="00CF5238"/>
    <w:rsid w:val="00D01148"/>
    <w:rsid w:val="00D01294"/>
    <w:rsid w:val="00D0480B"/>
    <w:rsid w:val="00D079D1"/>
    <w:rsid w:val="00D07BE8"/>
    <w:rsid w:val="00D121DF"/>
    <w:rsid w:val="00D13DF4"/>
    <w:rsid w:val="00D14042"/>
    <w:rsid w:val="00D1618B"/>
    <w:rsid w:val="00D21348"/>
    <w:rsid w:val="00D22242"/>
    <w:rsid w:val="00D225F0"/>
    <w:rsid w:val="00D24844"/>
    <w:rsid w:val="00D32318"/>
    <w:rsid w:val="00D32A89"/>
    <w:rsid w:val="00D33BF9"/>
    <w:rsid w:val="00D341E7"/>
    <w:rsid w:val="00D35F24"/>
    <w:rsid w:val="00D37015"/>
    <w:rsid w:val="00D4486C"/>
    <w:rsid w:val="00D452F4"/>
    <w:rsid w:val="00D46BA6"/>
    <w:rsid w:val="00D507A8"/>
    <w:rsid w:val="00D5275A"/>
    <w:rsid w:val="00D52B89"/>
    <w:rsid w:val="00D53952"/>
    <w:rsid w:val="00D56EDB"/>
    <w:rsid w:val="00D602F2"/>
    <w:rsid w:val="00D61A1E"/>
    <w:rsid w:val="00D62454"/>
    <w:rsid w:val="00D65A7B"/>
    <w:rsid w:val="00D665FB"/>
    <w:rsid w:val="00D67C0D"/>
    <w:rsid w:val="00D7235B"/>
    <w:rsid w:val="00D72FC1"/>
    <w:rsid w:val="00D762B5"/>
    <w:rsid w:val="00D92900"/>
    <w:rsid w:val="00D95240"/>
    <w:rsid w:val="00D96A6B"/>
    <w:rsid w:val="00D96C1D"/>
    <w:rsid w:val="00DA1721"/>
    <w:rsid w:val="00DA3298"/>
    <w:rsid w:val="00DA39A0"/>
    <w:rsid w:val="00DA4BF3"/>
    <w:rsid w:val="00DA5A4A"/>
    <w:rsid w:val="00DA5DAC"/>
    <w:rsid w:val="00DA7C6B"/>
    <w:rsid w:val="00DB039B"/>
    <w:rsid w:val="00DB476E"/>
    <w:rsid w:val="00DB6506"/>
    <w:rsid w:val="00DC1A16"/>
    <w:rsid w:val="00DC1D1E"/>
    <w:rsid w:val="00DC2304"/>
    <w:rsid w:val="00DC290B"/>
    <w:rsid w:val="00DC3635"/>
    <w:rsid w:val="00DD23C3"/>
    <w:rsid w:val="00DD352B"/>
    <w:rsid w:val="00DE02F7"/>
    <w:rsid w:val="00DE1128"/>
    <w:rsid w:val="00DE15A3"/>
    <w:rsid w:val="00DE2895"/>
    <w:rsid w:val="00DE5383"/>
    <w:rsid w:val="00DE557A"/>
    <w:rsid w:val="00DE7C0A"/>
    <w:rsid w:val="00DE7FCC"/>
    <w:rsid w:val="00DF05CF"/>
    <w:rsid w:val="00DF706E"/>
    <w:rsid w:val="00E01391"/>
    <w:rsid w:val="00E028A9"/>
    <w:rsid w:val="00E073D8"/>
    <w:rsid w:val="00E105AB"/>
    <w:rsid w:val="00E135A1"/>
    <w:rsid w:val="00E1799A"/>
    <w:rsid w:val="00E2255A"/>
    <w:rsid w:val="00E232C8"/>
    <w:rsid w:val="00E3036F"/>
    <w:rsid w:val="00E425B9"/>
    <w:rsid w:val="00E4263C"/>
    <w:rsid w:val="00E540D0"/>
    <w:rsid w:val="00E625D2"/>
    <w:rsid w:val="00E63BE5"/>
    <w:rsid w:val="00E65702"/>
    <w:rsid w:val="00E666B8"/>
    <w:rsid w:val="00E70FB2"/>
    <w:rsid w:val="00E77142"/>
    <w:rsid w:val="00E85ECE"/>
    <w:rsid w:val="00E868D0"/>
    <w:rsid w:val="00E96216"/>
    <w:rsid w:val="00E963C0"/>
    <w:rsid w:val="00EA1693"/>
    <w:rsid w:val="00EA6731"/>
    <w:rsid w:val="00EA6D7A"/>
    <w:rsid w:val="00EB776B"/>
    <w:rsid w:val="00EC179B"/>
    <w:rsid w:val="00ED05BC"/>
    <w:rsid w:val="00ED2FF3"/>
    <w:rsid w:val="00ED740C"/>
    <w:rsid w:val="00EE6CC7"/>
    <w:rsid w:val="00EF57D4"/>
    <w:rsid w:val="00F0023B"/>
    <w:rsid w:val="00F04E69"/>
    <w:rsid w:val="00F050C1"/>
    <w:rsid w:val="00F0564D"/>
    <w:rsid w:val="00F06C82"/>
    <w:rsid w:val="00F10FA4"/>
    <w:rsid w:val="00F13D49"/>
    <w:rsid w:val="00F14920"/>
    <w:rsid w:val="00F20FBF"/>
    <w:rsid w:val="00F23FD4"/>
    <w:rsid w:val="00F27D98"/>
    <w:rsid w:val="00F31CF2"/>
    <w:rsid w:val="00F3367C"/>
    <w:rsid w:val="00F42E53"/>
    <w:rsid w:val="00F450CA"/>
    <w:rsid w:val="00F45B5B"/>
    <w:rsid w:val="00F4617D"/>
    <w:rsid w:val="00F46E79"/>
    <w:rsid w:val="00F505AC"/>
    <w:rsid w:val="00F5066C"/>
    <w:rsid w:val="00F53808"/>
    <w:rsid w:val="00F609DA"/>
    <w:rsid w:val="00F62B94"/>
    <w:rsid w:val="00F63658"/>
    <w:rsid w:val="00F63F8F"/>
    <w:rsid w:val="00F64D7E"/>
    <w:rsid w:val="00F64D92"/>
    <w:rsid w:val="00F655D0"/>
    <w:rsid w:val="00F71202"/>
    <w:rsid w:val="00F7769F"/>
    <w:rsid w:val="00F86E2E"/>
    <w:rsid w:val="00F87747"/>
    <w:rsid w:val="00F90DFC"/>
    <w:rsid w:val="00F91600"/>
    <w:rsid w:val="00F919AA"/>
    <w:rsid w:val="00F91CC6"/>
    <w:rsid w:val="00F9275D"/>
    <w:rsid w:val="00F95B01"/>
    <w:rsid w:val="00F961D9"/>
    <w:rsid w:val="00F96C8B"/>
    <w:rsid w:val="00FA35E1"/>
    <w:rsid w:val="00FA59CD"/>
    <w:rsid w:val="00FB2B16"/>
    <w:rsid w:val="00FC2ED5"/>
    <w:rsid w:val="00FD5C97"/>
    <w:rsid w:val="00FD7AD3"/>
    <w:rsid w:val="00FD7DCD"/>
    <w:rsid w:val="00FE21DD"/>
    <w:rsid w:val="00FF4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C14"/>
    <w:pPr>
      <w:spacing w:after="200" w:line="276" w:lineRule="auto"/>
    </w:pPr>
    <w:rPr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07AA7"/>
    <w:pPr>
      <w:keepNext/>
      <w:autoSpaceDE w:val="0"/>
      <w:autoSpaceDN w:val="0"/>
      <w:adjustRightInd w:val="0"/>
      <w:spacing w:after="0" w:line="240" w:lineRule="auto"/>
      <w:jc w:val="center"/>
      <w:outlineLvl w:val="3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A07AA7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07AA7"/>
    <w:pPr>
      <w:autoSpaceDE w:val="0"/>
      <w:autoSpaceDN w:val="0"/>
      <w:adjustRightInd w:val="0"/>
      <w:spacing w:after="0" w:line="240" w:lineRule="auto"/>
      <w:jc w:val="both"/>
    </w:pPr>
    <w:rPr>
      <w:b/>
      <w:bCs/>
      <w:i/>
      <w:iCs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rsid w:val="00A07AA7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BodyTextFirstIndent">
    <w:name w:val="Body Text First Indent"/>
    <w:basedOn w:val="BodyText"/>
    <w:link w:val="BodyTextFirstIndentChar"/>
    <w:uiPriority w:val="99"/>
    <w:rsid w:val="00A07AA7"/>
    <w:pPr>
      <w:spacing w:after="120"/>
      <w:ind w:firstLine="210"/>
      <w:jc w:val="left"/>
    </w:pPr>
    <w:rPr>
      <w:b w:val="0"/>
      <w:bCs w:val="0"/>
      <w:i w:val="0"/>
      <w:iCs w:val="0"/>
      <w:sz w:val="24"/>
      <w:szCs w:val="24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A07AA7"/>
    <w:rPr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A07AA7"/>
    <w:pPr>
      <w:tabs>
        <w:tab w:val="left" w:pos="454"/>
        <w:tab w:val="left" w:pos="907"/>
      </w:tabs>
      <w:autoSpaceDE w:val="0"/>
      <w:autoSpaceDN w:val="0"/>
      <w:adjustRightInd w:val="0"/>
      <w:spacing w:after="60" w:line="240" w:lineRule="auto"/>
      <w:jc w:val="center"/>
    </w:pPr>
    <w:rPr>
      <w:b/>
      <w:bCs/>
      <w:i/>
      <w:i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rsid w:val="00A07AA7"/>
    <w:rPr>
      <w:rFonts w:ascii="Times New Roman" w:hAnsi="Times New Roman" w:cs="Times New Roman"/>
      <w:b/>
      <w:bCs/>
      <w:i/>
      <w:iCs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07AA7"/>
    <w:pPr>
      <w:widowControl w:val="0"/>
      <w:autoSpaceDE w:val="0"/>
      <w:autoSpaceDN w:val="0"/>
      <w:adjustRightInd w:val="0"/>
      <w:spacing w:after="60" w:line="240" w:lineRule="auto"/>
      <w:jc w:val="center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07AA7"/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801</Words>
  <Characters>4811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4</cp:revision>
  <dcterms:created xsi:type="dcterms:W3CDTF">2015-12-10T12:56:00Z</dcterms:created>
  <dcterms:modified xsi:type="dcterms:W3CDTF">2015-12-16T09:57:00Z</dcterms:modified>
</cp:coreProperties>
</file>